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6" w:rsidRDefault="00D713A6" w:rsidP="00BF18E7">
      <w:pPr>
        <w:tabs>
          <w:tab w:val="left" w:pos="8020"/>
        </w:tabs>
        <w:spacing w:line="0" w:lineRule="atLeast"/>
        <w:rPr>
          <w:rFonts w:ascii="Times New Roman" w:eastAsia="Times New Roman" w:hAnsi="Times New Roman"/>
        </w:rPr>
      </w:pPr>
    </w:p>
    <w:p w:rsidR="00BF18E7" w:rsidRDefault="00BF18E7" w:rsidP="00BF18E7">
      <w:pPr>
        <w:tabs>
          <w:tab w:val="left" w:pos="8020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</w:t>
      </w:r>
      <w:r w:rsidR="00F448EE">
        <w:rPr>
          <w:rFonts w:ascii="Arial" w:eastAsia="Arial" w:hAnsi="Arial"/>
          <w:b/>
        </w:rPr>
        <w:tab/>
      </w:r>
    </w:p>
    <w:p w:rsidR="00F448EE" w:rsidRDefault="00F448EE" w:rsidP="00151990">
      <w:pPr>
        <w:tabs>
          <w:tab w:val="left" w:pos="8020"/>
        </w:tabs>
        <w:spacing w:line="0" w:lineRule="atLeast"/>
        <w:rPr>
          <w:b/>
          <w:sz w:val="32"/>
          <w:szCs w:val="32"/>
        </w:rPr>
      </w:pPr>
      <w:r>
        <w:t xml:space="preserve">             </w:t>
      </w:r>
    </w:p>
    <w:tbl>
      <w:tblPr>
        <w:tblStyle w:val="TableGrid"/>
        <w:tblW w:w="10890" w:type="dxa"/>
        <w:tblInd w:w="828" w:type="dxa"/>
        <w:tblLook w:val="04A0" w:firstRow="1" w:lastRow="0" w:firstColumn="1" w:lastColumn="0" w:noHBand="0" w:noVBand="1"/>
      </w:tblPr>
      <w:tblGrid>
        <w:gridCol w:w="10890"/>
      </w:tblGrid>
      <w:tr w:rsidR="00151990" w:rsidTr="00151990">
        <w:tc>
          <w:tcPr>
            <w:tcW w:w="10890" w:type="dxa"/>
          </w:tcPr>
          <w:p w:rsidR="00151990" w:rsidRDefault="00151990" w:rsidP="00BF18E7">
            <w:pPr>
              <w:tabs>
                <w:tab w:val="left" w:pos="8020"/>
              </w:tabs>
              <w:spacing w:line="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WEB:</w:t>
            </w:r>
          </w:p>
        </w:tc>
      </w:tr>
      <w:tr w:rsidR="00151990" w:rsidTr="008B2299">
        <w:trPr>
          <w:trHeight w:val="2645"/>
        </w:trPr>
        <w:tc>
          <w:tcPr>
            <w:tcW w:w="10890" w:type="dxa"/>
          </w:tcPr>
          <w:p w:rsidR="00151990" w:rsidRDefault="00151990" w:rsidP="00BF18E7">
            <w:pPr>
              <w:tabs>
                <w:tab w:val="left" w:pos="8020"/>
              </w:tabs>
              <w:spacing w:line="0" w:lineRule="atLeast"/>
              <w:rPr>
                <w:b/>
                <w:sz w:val="32"/>
                <w:szCs w:val="32"/>
              </w:rPr>
            </w:pPr>
            <w:r w:rsidRPr="00F448EE">
              <w:rPr>
                <w:b/>
                <w:sz w:val="32"/>
                <w:szCs w:val="32"/>
              </w:rPr>
              <w:t>Hammer Union</w:t>
            </w:r>
            <w:r>
              <w:rPr>
                <w:b/>
                <w:sz w:val="32"/>
                <w:szCs w:val="32"/>
              </w:rPr>
              <w:t xml:space="preserve"> :</w:t>
            </w:r>
          </w:p>
          <w:p w:rsidR="00151990" w:rsidRPr="00804D06" w:rsidRDefault="00151990" w:rsidP="008B229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GoBack"/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We offer a complete range of hammer unions in standard and sour services. The </w:t>
            </w:r>
            <w:proofErr w:type="gramStart"/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>size offered are</w:t>
            </w:r>
            <w:proofErr w:type="gramEnd"/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from </w:t>
            </w:r>
            <w:r w:rsidRPr="00804D0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1'' to 10''</w:t>
            </w:r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>upto</w:t>
            </w:r>
            <w:proofErr w:type="spellEnd"/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804D0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20000 PSI</w:t>
            </w:r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working pressure. These Hammer unions are available in both threaded (LPT) and butt welded Connections. Our unions are interchangeable with </w:t>
            </w:r>
            <w:r w:rsidRPr="00804D0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WECO</w:t>
            </w:r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and other manufacturers as per the </w:t>
            </w:r>
            <w:r w:rsidRPr="00804D0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industry standards</w:t>
            </w:r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  <w:bookmarkEnd w:id="0"/>
          <w:p w:rsidR="00151990" w:rsidRPr="00804D06" w:rsidRDefault="00151990" w:rsidP="008B2299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151990" w:rsidRPr="00804D06" w:rsidRDefault="00151990" w:rsidP="008B229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>These unions are manufactured with latest techniques with convenient material suitable for specific pressure rating and service.</w:t>
            </w:r>
            <w:r w:rsidR="008B2299"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804D06">
              <w:rPr>
                <w:rFonts w:asciiTheme="minorHAnsi" w:eastAsiaTheme="minorHAnsi" w:hAnsiTheme="minorHAnsi" w:cstheme="minorHAnsi"/>
                <w:sz w:val="24"/>
                <w:szCs w:val="24"/>
              </w:rPr>
              <w:t>Our products are satisfactorily passed our quality control procedures. It has been calibrated and fully tested.</w:t>
            </w:r>
          </w:p>
          <w:p w:rsidR="00151990" w:rsidRDefault="00151990" w:rsidP="00BF18E7">
            <w:pPr>
              <w:tabs>
                <w:tab w:val="left" w:pos="8020"/>
              </w:tabs>
              <w:spacing w:line="0" w:lineRule="atLeast"/>
              <w:rPr>
                <w:b/>
                <w:sz w:val="32"/>
                <w:szCs w:val="32"/>
              </w:rPr>
            </w:pPr>
          </w:p>
        </w:tc>
      </w:tr>
    </w:tbl>
    <w:p w:rsidR="0061209C" w:rsidRPr="00F448EE" w:rsidRDefault="00F448EE" w:rsidP="00BF18E7">
      <w:pPr>
        <w:tabs>
          <w:tab w:val="left" w:pos="8020"/>
        </w:tabs>
        <w:spacing w:line="0" w:lineRule="atLeast"/>
        <w:rPr>
          <w:b/>
          <w:sz w:val="32"/>
          <w:szCs w:val="32"/>
        </w:rPr>
      </w:pPr>
      <w:r w:rsidRPr="00F448EE">
        <w:rPr>
          <w:b/>
          <w:sz w:val="32"/>
          <w:szCs w:val="32"/>
        </w:rPr>
        <w:tab/>
      </w:r>
    </w:p>
    <w:p w:rsidR="008E44D0" w:rsidRPr="00EB285D" w:rsidRDefault="008E44D0" w:rsidP="0061209C">
      <w:pPr>
        <w:autoSpaceDE w:val="0"/>
        <w:autoSpaceDN w:val="0"/>
        <w:adjustRightInd w:val="0"/>
        <w:ind w:left="720"/>
        <w:jc w:val="both"/>
        <w:rPr>
          <w:rFonts w:eastAsiaTheme="minorHAnsi" w:cs="Calibri"/>
          <w:sz w:val="24"/>
          <w:szCs w:val="24"/>
        </w:rPr>
      </w:pPr>
    </w:p>
    <w:p w:rsidR="008E44D0" w:rsidRDefault="008E44D0" w:rsidP="0061209C">
      <w:pPr>
        <w:autoSpaceDE w:val="0"/>
        <w:autoSpaceDN w:val="0"/>
        <w:adjustRightInd w:val="0"/>
        <w:ind w:left="720"/>
        <w:jc w:val="both"/>
        <w:rPr>
          <w:rFonts w:eastAsiaTheme="minorHAnsi" w:cs="Calibri"/>
          <w:b/>
          <w:sz w:val="24"/>
          <w:szCs w:val="24"/>
        </w:rPr>
      </w:pPr>
      <w:r w:rsidRPr="00EB285D">
        <w:rPr>
          <w:rFonts w:eastAsiaTheme="minorHAnsi" w:cs="Calibri"/>
          <w:b/>
          <w:sz w:val="24"/>
          <w:szCs w:val="24"/>
        </w:rPr>
        <w:t xml:space="preserve">Material Physical </w:t>
      </w:r>
      <w:proofErr w:type="gramStart"/>
      <w:r w:rsidRPr="00EB285D">
        <w:rPr>
          <w:rFonts w:eastAsiaTheme="minorHAnsi" w:cs="Calibri"/>
          <w:b/>
          <w:sz w:val="24"/>
          <w:szCs w:val="24"/>
        </w:rPr>
        <w:t>Testing :</w:t>
      </w:r>
      <w:proofErr w:type="gramEnd"/>
      <w:r w:rsidRPr="00EB285D">
        <w:rPr>
          <w:rFonts w:eastAsiaTheme="minorHAnsi" w:cs="Calibri"/>
          <w:b/>
          <w:sz w:val="24"/>
          <w:szCs w:val="24"/>
        </w:rPr>
        <w:t xml:space="preserve"> </w:t>
      </w:r>
    </w:p>
    <w:p w:rsidR="00EB285D" w:rsidRPr="00EB285D" w:rsidRDefault="00EB285D" w:rsidP="0061209C">
      <w:pPr>
        <w:autoSpaceDE w:val="0"/>
        <w:autoSpaceDN w:val="0"/>
        <w:adjustRightInd w:val="0"/>
        <w:ind w:left="720"/>
        <w:jc w:val="both"/>
        <w:rPr>
          <w:rFonts w:eastAsiaTheme="minorHAnsi" w:cs="Calibri"/>
          <w:b/>
          <w:sz w:val="24"/>
          <w:szCs w:val="24"/>
        </w:rPr>
      </w:pPr>
    </w:p>
    <w:p w:rsidR="00214D44" w:rsidRPr="00214D44" w:rsidRDefault="00214D44" w:rsidP="00214D4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b/>
          <w:sz w:val="22"/>
          <w:szCs w:val="22"/>
        </w:rPr>
      </w:pPr>
      <w:r w:rsidRPr="003720CD">
        <w:rPr>
          <w:b/>
          <w:sz w:val="24"/>
          <w:szCs w:val="24"/>
        </w:rPr>
        <w:t>Yield test</w:t>
      </w:r>
    </w:p>
    <w:p w:rsidR="00214D44" w:rsidRDefault="00214D44" w:rsidP="00214D44">
      <w:pPr>
        <w:pStyle w:val="ListParagraph"/>
        <w:numPr>
          <w:ilvl w:val="0"/>
          <w:numId w:val="4"/>
        </w:numPr>
        <w:spacing w:after="200"/>
        <w:rPr>
          <w:b/>
          <w:sz w:val="24"/>
          <w:szCs w:val="24"/>
        </w:rPr>
      </w:pPr>
      <w:r w:rsidRPr="003720CD">
        <w:rPr>
          <w:b/>
          <w:sz w:val="24"/>
          <w:szCs w:val="24"/>
        </w:rPr>
        <w:t xml:space="preserve">Tensile test </w:t>
      </w:r>
    </w:p>
    <w:p w:rsidR="00214D44" w:rsidRPr="003720CD" w:rsidRDefault="00214D44" w:rsidP="00214D44">
      <w:pPr>
        <w:pStyle w:val="ListParagraph"/>
        <w:numPr>
          <w:ilvl w:val="0"/>
          <w:numId w:val="4"/>
        </w:numPr>
        <w:spacing w:after="200"/>
        <w:rPr>
          <w:b/>
          <w:sz w:val="24"/>
          <w:szCs w:val="24"/>
        </w:rPr>
      </w:pPr>
      <w:r w:rsidRPr="003720CD">
        <w:rPr>
          <w:b/>
          <w:sz w:val="24"/>
          <w:szCs w:val="24"/>
        </w:rPr>
        <w:t>Chemical Test</w:t>
      </w:r>
    </w:p>
    <w:p w:rsidR="00214D44" w:rsidRPr="003720CD" w:rsidRDefault="002E76DD" w:rsidP="00214D44">
      <w:pPr>
        <w:pStyle w:val="ListParagraph"/>
        <w:numPr>
          <w:ilvl w:val="0"/>
          <w:numId w:val="4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Metallurgical Testing</w:t>
      </w:r>
    </w:p>
    <w:p w:rsidR="00214D44" w:rsidRDefault="00214D44" w:rsidP="00214D44">
      <w:pPr>
        <w:pStyle w:val="ListParagraph"/>
        <w:numPr>
          <w:ilvl w:val="0"/>
          <w:numId w:val="4"/>
        </w:numPr>
        <w:spacing w:after="200"/>
        <w:rPr>
          <w:b/>
          <w:sz w:val="24"/>
          <w:szCs w:val="24"/>
        </w:rPr>
      </w:pPr>
      <w:r w:rsidRPr="003720CD">
        <w:rPr>
          <w:b/>
          <w:sz w:val="24"/>
          <w:szCs w:val="24"/>
        </w:rPr>
        <w:t>Ultrasonic Testing</w:t>
      </w:r>
      <w:r>
        <w:rPr>
          <w:b/>
          <w:sz w:val="24"/>
          <w:szCs w:val="24"/>
        </w:rPr>
        <w:t xml:space="preserve"> </w:t>
      </w:r>
    </w:p>
    <w:p w:rsidR="00214D44" w:rsidRPr="00214D44" w:rsidRDefault="00214D44" w:rsidP="00214D4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14D44">
        <w:rPr>
          <w:sz w:val="24"/>
          <w:szCs w:val="24"/>
        </w:rPr>
        <w:t>Crack can be detected by ultrasonic test</w:t>
      </w:r>
    </w:p>
    <w:p w:rsidR="00214D44" w:rsidRPr="003720CD" w:rsidRDefault="00214D44" w:rsidP="00214D44">
      <w:pPr>
        <w:pStyle w:val="ListParagraph"/>
        <w:numPr>
          <w:ilvl w:val="0"/>
          <w:numId w:val="4"/>
        </w:numPr>
        <w:spacing w:after="200"/>
        <w:rPr>
          <w:b/>
          <w:sz w:val="24"/>
          <w:szCs w:val="24"/>
        </w:rPr>
      </w:pPr>
      <w:r w:rsidRPr="003720CD">
        <w:rPr>
          <w:b/>
          <w:sz w:val="24"/>
          <w:szCs w:val="24"/>
        </w:rPr>
        <w:t>Magnetic Particle inspection (MPE)</w:t>
      </w:r>
    </w:p>
    <w:p w:rsidR="00214D44" w:rsidRPr="00977A03" w:rsidRDefault="00977A03" w:rsidP="00977A03">
      <w:pPr>
        <w:pStyle w:val="ListParagraph"/>
        <w:numPr>
          <w:ilvl w:val="0"/>
          <w:numId w:val="4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LPT : Liquid Penetration T</w:t>
      </w:r>
      <w:r w:rsidR="00214D44" w:rsidRPr="003720CD">
        <w:rPr>
          <w:b/>
          <w:sz w:val="24"/>
          <w:szCs w:val="24"/>
        </w:rPr>
        <w:t>est</w:t>
      </w:r>
    </w:p>
    <w:p w:rsidR="00214D44" w:rsidRPr="003720CD" w:rsidRDefault="00214D44" w:rsidP="00214D44">
      <w:pPr>
        <w:pStyle w:val="ListParagraph"/>
        <w:numPr>
          <w:ilvl w:val="0"/>
          <w:numId w:val="4"/>
        </w:numPr>
        <w:spacing w:after="200"/>
        <w:rPr>
          <w:b/>
          <w:sz w:val="24"/>
          <w:szCs w:val="24"/>
        </w:rPr>
      </w:pPr>
      <w:r w:rsidRPr="003720CD">
        <w:rPr>
          <w:b/>
          <w:sz w:val="24"/>
          <w:szCs w:val="24"/>
        </w:rPr>
        <w:t>Hydro Test</w:t>
      </w:r>
    </w:p>
    <w:p w:rsidR="00214D44" w:rsidRPr="003720CD" w:rsidRDefault="00214D44" w:rsidP="00214D44">
      <w:pPr>
        <w:pStyle w:val="ListParagraph"/>
        <w:numPr>
          <w:ilvl w:val="0"/>
          <w:numId w:val="4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Heat T</w:t>
      </w:r>
      <w:r w:rsidRPr="003720CD">
        <w:rPr>
          <w:b/>
          <w:sz w:val="24"/>
          <w:szCs w:val="24"/>
        </w:rPr>
        <w:t>reatment</w:t>
      </w:r>
    </w:p>
    <w:p w:rsidR="00214D44" w:rsidRPr="00214D44" w:rsidRDefault="00214D44" w:rsidP="00214D44">
      <w:pPr>
        <w:pStyle w:val="ListParagraph"/>
        <w:autoSpaceDE w:val="0"/>
        <w:autoSpaceDN w:val="0"/>
        <w:adjustRightInd w:val="0"/>
        <w:ind w:left="2160"/>
        <w:jc w:val="both"/>
        <w:rPr>
          <w:rFonts w:eastAsiaTheme="minorHAnsi" w:cs="Calibri"/>
          <w:b/>
          <w:sz w:val="22"/>
          <w:szCs w:val="22"/>
        </w:rPr>
      </w:pPr>
    </w:p>
    <w:p w:rsidR="0061209C" w:rsidRDefault="0061209C" w:rsidP="0061209C">
      <w:pPr>
        <w:tabs>
          <w:tab w:val="left" w:pos="8020"/>
        </w:tabs>
        <w:spacing w:line="0" w:lineRule="atLeast"/>
        <w:jc w:val="both"/>
        <w:rPr>
          <w:rFonts w:ascii="Tahoma" w:hAnsi="Tahoma" w:cs="Tahoma"/>
          <w:color w:val="000000"/>
        </w:rPr>
      </w:pPr>
    </w:p>
    <w:p w:rsidR="00BF18E7" w:rsidRDefault="004B2D2C" w:rsidP="00BF18E7">
      <w:pPr>
        <w:tabs>
          <w:tab w:val="left" w:pos="8020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</w:p>
    <w:sectPr w:rsidR="00BF18E7" w:rsidSect="00EB285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630" w:bottom="72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80" w:rsidRDefault="00926380" w:rsidP="009849AA">
      <w:r>
        <w:separator/>
      </w:r>
    </w:p>
  </w:endnote>
  <w:endnote w:type="continuationSeparator" w:id="0">
    <w:p w:rsidR="00926380" w:rsidRDefault="00926380" w:rsidP="0098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E7" w:rsidRDefault="00BF18E7">
    <w:pPr>
      <w:pStyle w:val="Footer"/>
    </w:pPr>
    <w:r>
      <w:rPr>
        <w:noProof/>
      </w:rPr>
      <w:drawing>
        <wp:inline distT="0" distB="0" distL="0" distR="0" wp14:anchorId="430CB360" wp14:editId="594A40F1">
          <wp:extent cx="8094244" cy="116098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7111" cy="1192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80" w:rsidRDefault="00926380" w:rsidP="009849AA">
      <w:r>
        <w:separator/>
      </w:r>
    </w:p>
  </w:footnote>
  <w:footnote w:type="continuationSeparator" w:id="0">
    <w:p w:rsidR="00926380" w:rsidRDefault="00926380" w:rsidP="0098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C" w:rsidRDefault="009263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92719" o:spid="_x0000_s2050" type="#_x0000_t75" style="position:absolute;margin-left:0;margin-top:0;width:66.1pt;height:66.1pt;z-index:-251657216;mso-position-horizontal:center;mso-position-horizontal-relative:margin;mso-position-vertical:center;mso-position-vertical-relative:margin" o:allowincell="f">
          <v:imagedata r:id="rId1" o:title="LOGO 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A6" w:rsidRPr="007E4B5C" w:rsidRDefault="00BF18E7" w:rsidP="00BF18E7">
    <w:pPr>
      <w:pStyle w:val="Header"/>
      <w:rPr>
        <w:rFonts w:ascii="Arial" w:hAnsi="Arial"/>
        <w:b/>
        <w:noProof/>
        <w:sz w:val="28"/>
        <w:szCs w:val="28"/>
      </w:rPr>
    </w:pPr>
    <w:r>
      <w:rPr>
        <w:rFonts w:ascii="Arial" w:hAnsi="Arial"/>
        <w:b/>
        <w:noProof/>
        <w:sz w:val="28"/>
        <w:szCs w:val="28"/>
      </w:rPr>
      <w:drawing>
        <wp:inline distT="0" distB="0" distL="0" distR="0" wp14:anchorId="09EB6701" wp14:editId="26DB3854">
          <wp:extent cx="7777537" cy="147845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16" cy="147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380">
      <w:rPr>
        <w:rFonts w:ascii="Arial" w:hAnsi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92720" o:spid="_x0000_s2051" type="#_x0000_t75" style="position:absolute;margin-left:0;margin-top:0;width:66.1pt;height:66.1pt;z-index:-251656192;mso-position-horizontal:center;mso-position-horizontal-relative:margin;mso-position-vertical:center;mso-position-vertical-relative:margin" o:allowincell="f">
          <v:imagedata r:id="rId2" o:title="LOGO DE" gain="19661f" blacklevel="22938f"/>
          <w10:wrap anchorx="margin" anchory="margin"/>
        </v:shape>
      </w:pict>
    </w:r>
    <w:r w:rsidR="00D713A6">
      <w:rPr>
        <w:rFonts w:ascii="Arial" w:hAnsi="Arial"/>
        <w:b/>
        <w:noProof/>
        <w:sz w:val="28"/>
        <w:szCs w:val="28"/>
      </w:rPr>
      <w:t xml:space="preserve">                                                                                         </w:t>
    </w:r>
    <w:r w:rsidR="00A03E71">
      <w:rPr>
        <w:rFonts w:ascii="Arial" w:hAnsi="Arial"/>
        <w:b/>
        <w:noProof/>
        <w:sz w:val="28"/>
        <w:szCs w:val="28"/>
      </w:rPr>
      <w:t xml:space="preserve">     </w:t>
    </w:r>
    <w:r w:rsidR="00E27D73" w:rsidRPr="00AE0362">
      <w:rPr>
        <w:rFonts w:ascii="Arial" w:hAnsi="Arial"/>
        <w:b/>
        <w:noProof/>
        <w:sz w:val="28"/>
        <w:szCs w:val="28"/>
      </w:rPr>
      <w:t xml:space="preserve">       </w:t>
    </w:r>
    <w:r>
      <w:rPr>
        <w:rFonts w:ascii="Arial" w:hAnsi="Arial"/>
        <w:b/>
        <w:noProof/>
        <w:sz w:val="28"/>
        <w:szCs w:val="28"/>
      </w:rPr>
      <w:t xml:space="preserve">           </w:t>
    </w:r>
    <w:r w:rsidR="00087635">
      <w:rPr>
        <w:rFonts w:ascii="Arial" w:hAnsi="Arial"/>
        <w:b/>
        <w:noProof/>
        <w:sz w:val="28"/>
        <w:szCs w:val="28"/>
      </w:rP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C" w:rsidRDefault="009263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392718" o:spid="_x0000_s2049" type="#_x0000_t75" style="position:absolute;margin-left:0;margin-top:0;width:66.1pt;height:66.1pt;z-index:-251658240;mso-position-horizontal:center;mso-position-horizontal-relative:margin;mso-position-vertical:center;mso-position-vertical-relative:margin" o:allowincell="f">
          <v:imagedata r:id="rId1" o:title="LOGO 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40"/>
    <w:multiLevelType w:val="hybridMultilevel"/>
    <w:tmpl w:val="DE12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0D2D"/>
    <w:multiLevelType w:val="hybridMultilevel"/>
    <w:tmpl w:val="FFEA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0D9C"/>
    <w:multiLevelType w:val="hybridMultilevel"/>
    <w:tmpl w:val="EFDC6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D10041"/>
    <w:multiLevelType w:val="hybridMultilevel"/>
    <w:tmpl w:val="BBB2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2132"/>
    <w:multiLevelType w:val="hybridMultilevel"/>
    <w:tmpl w:val="4CD855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4B02AA"/>
    <w:multiLevelType w:val="hybridMultilevel"/>
    <w:tmpl w:val="9AB0F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B26829"/>
    <w:multiLevelType w:val="hybridMultilevel"/>
    <w:tmpl w:val="70C0FCA2"/>
    <w:lvl w:ilvl="0" w:tplc="CFFC95B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EB1923"/>
    <w:multiLevelType w:val="hybridMultilevel"/>
    <w:tmpl w:val="AAB4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3E"/>
    <w:rsid w:val="00013D86"/>
    <w:rsid w:val="000248A8"/>
    <w:rsid w:val="000317FA"/>
    <w:rsid w:val="000652F6"/>
    <w:rsid w:val="00087635"/>
    <w:rsid w:val="000B36A1"/>
    <w:rsid w:val="000F6AA5"/>
    <w:rsid w:val="00101102"/>
    <w:rsid w:val="0014422B"/>
    <w:rsid w:val="00151990"/>
    <w:rsid w:val="001727DC"/>
    <w:rsid w:val="001A6D86"/>
    <w:rsid w:val="001D5594"/>
    <w:rsid w:val="00214D44"/>
    <w:rsid w:val="00221FCD"/>
    <w:rsid w:val="002376E4"/>
    <w:rsid w:val="00243B69"/>
    <w:rsid w:val="0024762C"/>
    <w:rsid w:val="00260A50"/>
    <w:rsid w:val="00272476"/>
    <w:rsid w:val="002847D2"/>
    <w:rsid w:val="002A4D28"/>
    <w:rsid w:val="002D4EF8"/>
    <w:rsid w:val="002E76DD"/>
    <w:rsid w:val="00347AD9"/>
    <w:rsid w:val="003564DB"/>
    <w:rsid w:val="003750FB"/>
    <w:rsid w:val="00421A3A"/>
    <w:rsid w:val="00434C82"/>
    <w:rsid w:val="00452D92"/>
    <w:rsid w:val="00454E18"/>
    <w:rsid w:val="004672ED"/>
    <w:rsid w:val="0047072E"/>
    <w:rsid w:val="00470A02"/>
    <w:rsid w:val="0047143E"/>
    <w:rsid w:val="00473BDF"/>
    <w:rsid w:val="00492751"/>
    <w:rsid w:val="004A7F06"/>
    <w:rsid w:val="004B05FB"/>
    <w:rsid w:val="004B2D2C"/>
    <w:rsid w:val="004B47BD"/>
    <w:rsid w:val="004D2AE8"/>
    <w:rsid w:val="004E3410"/>
    <w:rsid w:val="00501B8D"/>
    <w:rsid w:val="0058428F"/>
    <w:rsid w:val="005A743E"/>
    <w:rsid w:val="005D1E21"/>
    <w:rsid w:val="005F0F96"/>
    <w:rsid w:val="005F2315"/>
    <w:rsid w:val="00605F28"/>
    <w:rsid w:val="0061209C"/>
    <w:rsid w:val="006268BB"/>
    <w:rsid w:val="00643D99"/>
    <w:rsid w:val="00694DF0"/>
    <w:rsid w:val="006A362F"/>
    <w:rsid w:val="006B3246"/>
    <w:rsid w:val="006B6093"/>
    <w:rsid w:val="006C5D01"/>
    <w:rsid w:val="006F021C"/>
    <w:rsid w:val="00717EE0"/>
    <w:rsid w:val="007202EB"/>
    <w:rsid w:val="00724CAE"/>
    <w:rsid w:val="00746171"/>
    <w:rsid w:val="007551E6"/>
    <w:rsid w:val="007853E9"/>
    <w:rsid w:val="00793A71"/>
    <w:rsid w:val="007C2131"/>
    <w:rsid w:val="007D6D5E"/>
    <w:rsid w:val="007E1145"/>
    <w:rsid w:val="007E4B5C"/>
    <w:rsid w:val="007E7BA8"/>
    <w:rsid w:val="007F16E8"/>
    <w:rsid w:val="007F1BC9"/>
    <w:rsid w:val="00804D06"/>
    <w:rsid w:val="008869FB"/>
    <w:rsid w:val="00895EA8"/>
    <w:rsid w:val="008B2299"/>
    <w:rsid w:val="008C2F2B"/>
    <w:rsid w:val="008C5BD3"/>
    <w:rsid w:val="008E44D0"/>
    <w:rsid w:val="00911B5B"/>
    <w:rsid w:val="00914175"/>
    <w:rsid w:val="00915C03"/>
    <w:rsid w:val="00915D74"/>
    <w:rsid w:val="00926380"/>
    <w:rsid w:val="00952568"/>
    <w:rsid w:val="00977A03"/>
    <w:rsid w:val="009849AA"/>
    <w:rsid w:val="009C1300"/>
    <w:rsid w:val="009D2F04"/>
    <w:rsid w:val="009D4F56"/>
    <w:rsid w:val="00A0383E"/>
    <w:rsid w:val="00A03E71"/>
    <w:rsid w:val="00A735B7"/>
    <w:rsid w:val="00AE0362"/>
    <w:rsid w:val="00AE4815"/>
    <w:rsid w:val="00AE4AEC"/>
    <w:rsid w:val="00AF2141"/>
    <w:rsid w:val="00AF3CC7"/>
    <w:rsid w:val="00B134C2"/>
    <w:rsid w:val="00B1788D"/>
    <w:rsid w:val="00B42AE3"/>
    <w:rsid w:val="00BA487E"/>
    <w:rsid w:val="00BB36BF"/>
    <w:rsid w:val="00BB6916"/>
    <w:rsid w:val="00BC1EB3"/>
    <w:rsid w:val="00BC6D41"/>
    <w:rsid w:val="00BC756C"/>
    <w:rsid w:val="00BE54C5"/>
    <w:rsid w:val="00BF18E7"/>
    <w:rsid w:val="00C02993"/>
    <w:rsid w:val="00C05BA8"/>
    <w:rsid w:val="00C07EC6"/>
    <w:rsid w:val="00C23056"/>
    <w:rsid w:val="00C23347"/>
    <w:rsid w:val="00C56421"/>
    <w:rsid w:val="00C62252"/>
    <w:rsid w:val="00C81B70"/>
    <w:rsid w:val="00CB2EDD"/>
    <w:rsid w:val="00CB59E8"/>
    <w:rsid w:val="00D713A6"/>
    <w:rsid w:val="00D74594"/>
    <w:rsid w:val="00DC4D04"/>
    <w:rsid w:val="00E27D73"/>
    <w:rsid w:val="00E434E8"/>
    <w:rsid w:val="00E443DE"/>
    <w:rsid w:val="00E55A72"/>
    <w:rsid w:val="00E55C0F"/>
    <w:rsid w:val="00E56686"/>
    <w:rsid w:val="00E57BA2"/>
    <w:rsid w:val="00E66270"/>
    <w:rsid w:val="00EB1704"/>
    <w:rsid w:val="00EB285D"/>
    <w:rsid w:val="00EB5CD1"/>
    <w:rsid w:val="00EC488B"/>
    <w:rsid w:val="00F11F80"/>
    <w:rsid w:val="00F262CF"/>
    <w:rsid w:val="00F448EE"/>
    <w:rsid w:val="00F836E2"/>
    <w:rsid w:val="00FC316D"/>
    <w:rsid w:val="00FF0368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3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3E"/>
    <w:pPr>
      <w:ind w:left="720"/>
      <w:contextualSpacing/>
    </w:pPr>
  </w:style>
  <w:style w:type="table" w:styleId="TableGrid">
    <w:name w:val="Table Grid"/>
    <w:basedOn w:val="TableNormal"/>
    <w:uiPriority w:val="59"/>
    <w:rsid w:val="0088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A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AA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A8"/>
    <w:rPr>
      <w:color w:val="0000FF" w:themeColor="hyperlink"/>
      <w:u w:val="single"/>
    </w:rPr>
  </w:style>
  <w:style w:type="paragraph" w:customStyle="1" w:styleId="Default">
    <w:name w:val="Default"/>
    <w:rsid w:val="00EB1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3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3E"/>
    <w:pPr>
      <w:ind w:left="720"/>
      <w:contextualSpacing/>
    </w:pPr>
  </w:style>
  <w:style w:type="table" w:styleId="TableGrid">
    <w:name w:val="Table Grid"/>
    <w:basedOn w:val="TableNormal"/>
    <w:uiPriority w:val="59"/>
    <w:rsid w:val="0088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A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AA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A8"/>
    <w:rPr>
      <w:color w:val="0000FF" w:themeColor="hyperlink"/>
      <w:u w:val="single"/>
    </w:rPr>
  </w:style>
  <w:style w:type="paragraph" w:customStyle="1" w:styleId="Default">
    <w:name w:val="Default"/>
    <w:rsid w:val="00EB1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769E-9D4F-487F-A5BE-FE27F38C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27</cp:revision>
  <cp:lastPrinted>2018-07-23T11:31:00Z</cp:lastPrinted>
  <dcterms:created xsi:type="dcterms:W3CDTF">2018-07-19T06:55:00Z</dcterms:created>
  <dcterms:modified xsi:type="dcterms:W3CDTF">2020-06-13T12:11:00Z</dcterms:modified>
</cp:coreProperties>
</file>