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2EFF" w:rsidTr="00DD2EFF">
        <w:tc>
          <w:tcPr>
            <w:tcW w:w="9576" w:type="dxa"/>
          </w:tcPr>
          <w:p w:rsidR="00DD2EFF" w:rsidRDefault="00DD2EFF">
            <w:r>
              <w:t>FOR WEB</w:t>
            </w:r>
          </w:p>
        </w:tc>
      </w:tr>
      <w:tr w:rsidR="00DD2EFF" w:rsidTr="00DD2EFF">
        <w:tc>
          <w:tcPr>
            <w:tcW w:w="9576" w:type="dxa"/>
          </w:tcPr>
          <w:p w:rsidR="00B440C1" w:rsidRPr="00B440C1" w:rsidRDefault="00B440C1" w:rsidP="00B440C1">
            <w:pPr>
              <w:pStyle w:val="NormalWeb"/>
              <w:spacing w:before="0" w:beforeAutospacing="0" w:after="270" w:afterAutospacing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440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>GATE VALVE:</w:t>
            </w:r>
          </w:p>
          <w:p w:rsidR="00B440C1" w:rsidRPr="00B440C1" w:rsidRDefault="00DD2EFF" w:rsidP="00B440C1">
            <w:pPr>
              <w:pStyle w:val="NormalWeb"/>
              <w:spacing w:before="0" w:beforeAutospacing="0" w:after="27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44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We can offer</w:t>
            </w:r>
            <w:r w:rsidRPr="00DD2E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 complete range of Gate Valve for drilling and production applications.</w:t>
            </w:r>
            <w:r w:rsidR="009B2FD8" w:rsidRPr="00B44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2FD8" w:rsidRPr="00DD2E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have in-hous</w:t>
            </w:r>
            <w:r w:rsidR="009B2FD8" w:rsidRPr="00B44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facility for testing of Valve.</w:t>
            </w:r>
            <w:r w:rsidR="00B440C1" w:rsidRPr="00B44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44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can provide</w:t>
            </w:r>
            <w:r w:rsidR="00B440C1" w:rsidRPr="00B44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customers with reliable inspection, repair and certification services for all types of high pressure </w:t>
            </w:r>
            <w:r w:rsidR="00B44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gate </w:t>
            </w:r>
            <w:r w:rsidR="00B440C1" w:rsidRPr="00B44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valves and manifolds. These services can be provided infield, in customer yards or in our workshops as required.</w:t>
            </w:r>
            <w:bookmarkStart w:id="0" w:name="_GoBack"/>
            <w:bookmarkEnd w:id="0"/>
          </w:p>
          <w:p w:rsidR="00DD2EFF" w:rsidRPr="00DD2EFF" w:rsidRDefault="00B440C1" w:rsidP="00DD2EFF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B440C1">
              <w:rPr>
                <w:rFonts w:eastAsia="Times New Roman" w:cstheme="minorHAnsi"/>
                <w:b/>
                <w:color w:val="000000" w:themeColor="text1"/>
              </w:rPr>
              <w:t>FEATURES:</w:t>
            </w:r>
          </w:p>
          <w:p w:rsidR="00DD2EFF" w:rsidRPr="00DD2EFF" w:rsidRDefault="00DD2EFF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DD2EFF">
              <w:rPr>
                <w:rFonts w:eastAsia="Times New Roman" w:cstheme="minorHAnsi"/>
                <w:color w:val="000000" w:themeColor="text1"/>
              </w:rPr>
              <w:t>Slab design suitable for actuation and compatible with a wide range of actuators</w:t>
            </w:r>
          </w:p>
          <w:p w:rsidR="00DD2EFF" w:rsidRPr="00DD2EFF" w:rsidRDefault="009B2FD8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Working pressure ratings of 5</w:t>
            </w:r>
            <w:r w:rsidR="00DD2EFF" w:rsidRPr="00DD2EFF">
              <w:rPr>
                <w:rFonts w:eastAsia="Times New Roman" w:cstheme="minorHAnsi"/>
                <w:color w:val="000000" w:themeColor="text1"/>
              </w:rPr>
              <w:t>000 to 15,000</w:t>
            </w:r>
            <w:r>
              <w:rPr>
                <w:rFonts w:eastAsia="Times New Roman" w:cstheme="minorHAnsi"/>
                <w:color w:val="000000" w:themeColor="text1"/>
              </w:rPr>
              <w:t xml:space="preserve"> psi</w:t>
            </w:r>
            <w:r w:rsidR="00DD2EFF" w:rsidRPr="00DD2EFF">
              <w:rPr>
                <w:rFonts w:eastAsia="Times New Roman" w:cstheme="minorHAnsi"/>
                <w:color w:val="000000" w:themeColor="text1"/>
              </w:rPr>
              <w:t>.</w:t>
            </w:r>
          </w:p>
          <w:p w:rsidR="00DD2EFF" w:rsidRPr="00DD2EFF" w:rsidRDefault="00DD2EFF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DD2EFF">
              <w:rPr>
                <w:rFonts w:eastAsia="Times New Roman" w:cstheme="minorHAnsi"/>
                <w:color w:val="000000" w:themeColor="text1"/>
              </w:rPr>
              <w:t>Positive Metal to Metal sealing (gate-to-seat and seat-to-body)</w:t>
            </w:r>
          </w:p>
          <w:p w:rsidR="00DD2EFF" w:rsidRPr="00DD2EFF" w:rsidRDefault="00DD2EFF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DD2EFF">
              <w:rPr>
                <w:rFonts w:eastAsia="Times New Roman" w:cstheme="minorHAnsi"/>
                <w:color w:val="000000" w:themeColor="text1"/>
              </w:rPr>
              <w:t>Bi-directional sealing design</w:t>
            </w:r>
          </w:p>
          <w:p w:rsidR="00DD2EFF" w:rsidRDefault="00DD2EFF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DD2EFF">
              <w:rPr>
                <w:rFonts w:eastAsia="Times New Roman" w:cstheme="minorHAnsi"/>
                <w:color w:val="000000" w:themeColor="text1"/>
              </w:rPr>
              <w:t>Full bore through conduit construction.</w:t>
            </w:r>
          </w:p>
          <w:p w:rsidR="009B2FD8" w:rsidRPr="00DD2EFF" w:rsidRDefault="009B2FD8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Long life of Gate &amp; Seals</w:t>
            </w:r>
          </w:p>
          <w:p w:rsidR="00DD2EFF" w:rsidRDefault="00DD2EFF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DD2EFF">
              <w:rPr>
                <w:rFonts w:eastAsia="Times New Roman" w:cstheme="minorHAnsi"/>
                <w:color w:val="000000" w:themeColor="text1"/>
              </w:rPr>
              <w:t>Components constructed of various alloys and coatings for severe service applications.</w:t>
            </w:r>
          </w:p>
          <w:p w:rsidR="009B2FD8" w:rsidRDefault="009B2FD8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Forged body &amp; bonnet for the highest mechanical integrity</w:t>
            </w:r>
          </w:p>
          <w:p w:rsidR="009B2FD8" w:rsidRPr="00DD2EFF" w:rsidRDefault="009B2FD8" w:rsidP="00DD2EFF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Can be equipped with pneumatic &amp; hydraulic actuators</w:t>
            </w:r>
          </w:p>
          <w:p w:rsidR="00DD2EFF" w:rsidRPr="009B2FD8" w:rsidRDefault="00DD2EFF" w:rsidP="009B2FD8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DD2EFF">
              <w:rPr>
                <w:rFonts w:eastAsia="Times New Roman" w:cstheme="minorHAnsi"/>
                <w:color w:val="000000" w:themeColor="text1"/>
              </w:rPr>
              <w:t> </w:t>
            </w:r>
          </w:p>
          <w:p w:rsidR="00DD2EFF" w:rsidRDefault="00DD2EFF"/>
          <w:tbl>
            <w:tblPr>
              <w:tblStyle w:val="TableGrid"/>
              <w:tblW w:w="0" w:type="auto"/>
              <w:tblInd w:w="1075" w:type="dxa"/>
              <w:tblLook w:val="04A0" w:firstRow="1" w:lastRow="0" w:firstColumn="1" w:lastColumn="0" w:noHBand="0" w:noVBand="1"/>
            </w:tblPr>
            <w:tblGrid>
              <w:gridCol w:w="1066"/>
              <w:gridCol w:w="1975"/>
              <w:gridCol w:w="1975"/>
              <w:gridCol w:w="1976"/>
            </w:tblGrid>
            <w:tr w:rsidR="00DD2EFF" w:rsidTr="009B2FD8">
              <w:trPr>
                <w:trHeight w:val="320"/>
              </w:trPr>
              <w:tc>
                <w:tcPr>
                  <w:tcW w:w="1066" w:type="dxa"/>
                  <w:vMerge w:val="restart"/>
                </w:tcPr>
                <w:p w:rsidR="00DD2EFF" w:rsidRPr="00DD2EFF" w:rsidRDefault="00DD2EFF" w:rsidP="00DD2EFF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D2EFF">
                    <w:rPr>
                      <w:rStyle w:val="Strong"/>
                      <w:rFonts w:cstheme="minorHAnsi"/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  <w:t>SIZE</w:t>
                  </w:r>
                  <w:r w:rsidRPr="00DD2EFF">
                    <w:rPr>
                      <w:rStyle w:val="Strong"/>
                      <w:rFonts w:cstheme="minorHAnsi"/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  <w:t xml:space="preserve"> (Inches)</w:t>
                  </w:r>
                </w:p>
              </w:tc>
              <w:tc>
                <w:tcPr>
                  <w:tcW w:w="5925" w:type="dxa"/>
                  <w:gridSpan w:val="3"/>
                </w:tcPr>
                <w:p w:rsidR="00DD2EFF" w:rsidRPr="00DD2EFF" w:rsidRDefault="00DD2EFF" w:rsidP="00DD2EFF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D2EFF">
                    <w:rPr>
                      <w:rStyle w:val="Strong"/>
                      <w:rFonts w:cstheme="minorHAnsi"/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  <w:t>PRESSURE</w:t>
                  </w:r>
                </w:p>
              </w:tc>
            </w:tr>
            <w:tr w:rsidR="00DD2EFF" w:rsidTr="009B2FD8">
              <w:trPr>
                <w:trHeight w:val="320"/>
              </w:trPr>
              <w:tc>
                <w:tcPr>
                  <w:tcW w:w="1066" w:type="dxa"/>
                  <w:vMerge/>
                </w:tcPr>
                <w:p w:rsidR="00DD2EFF" w:rsidRPr="00DD2EFF" w:rsidRDefault="00DD2EFF" w:rsidP="00DD2EFF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975" w:type="dxa"/>
                </w:tcPr>
                <w:p w:rsidR="00DD2EFF" w:rsidRPr="00DD2EFF" w:rsidRDefault="00DD2EFF" w:rsidP="00DD2EFF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D2EFF">
                    <w:rPr>
                      <w:rStyle w:val="Strong"/>
                      <w:rFonts w:cstheme="minorHAnsi"/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  <w:t>5,000 PSI</w:t>
                  </w:r>
                </w:p>
              </w:tc>
              <w:tc>
                <w:tcPr>
                  <w:tcW w:w="1975" w:type="dxa"/>
                </w:tcPr>
                <w:p w:rsidR="00DD2EFF" w:rsidRPr="00DD2EFF" w:rsidRDefault="00DD2EFF" w:rsidP="00DD2EFF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D2EFF">
                    <w:rPr>
                      <w:rStyle w:val="Strong"/>
                      <w:rFonts w:cstheme="minorHAnsi"/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  <w:t>10,000 PSI</w:t>
                  </w:r>
                </w:p>
              </w:tc>
              <w:tc>
                <w:tcPr>
                  <w:tcW w:w="1976" w:type="dxa"/>
                </w:tcPr>
                <w:p w:rsidR="00DD2EFF" w:rsidRPr="00DD2EFF" w:rsidRDefault="00DD2EFF" w:rsidP="00DD2EFF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D2EFF">
                    <w:rPr>
                      <w:rStyle w:val="Strong"/>
                      <w:rFonts w:cstheme="minorHAnsi"/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  <w:t>15,000 PSI</w:t>
                  </w:r>
                </w:p>
              </w:tc>
            </w:tr>
            <w:tr w:rsidR="00DD2EFF" w:rsidTr="009B2FD8">
              <w:trPr>
                <w:trHeight w:val="320"/>
              </w:trPr>
              <w:tc>
                <w:tcPr>
                  <w:tcW w:w="1066" w:type="dxa"/>
                </w:tcPr>
                <w:p w:rsidR="00DD2EFF" w:rsidRPr="00DD2EFF" w:rsidRDefault="009B2FD8" w:rsidP="009B2FD8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2-1/1’’</w:t>
                  </w:r>
                </w:p>
              </w:tc>
              <w:tc>
                <w:tcPr>
                  <w:tcW w:w="1975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1975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1976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</w:tr>
            <w:tr w:rsidR="00DD2EFF" w:rsidTr="009B2FD8">
              <w:trPr>
                <w:trHeight w:val="334"/>
              </w:trPr>
              <w:tc>
                <w:tcPr>
                  <w:tcW w:w="1066" w:type="dxa"/>
                </w:tcPr>
                <w:p w:rsidR="00DD2EFF" w:rsidRPr="00DD2EFF" w:rsidRDefault="00DD2EFF" w:rsidP="009B2FD8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D2EFF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3-1/8</w:t>
                  </w:r>
                  <w:r w:rsidR="009B2FD8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’’</w:t>
                  </w:r>
                </w:p>
              </w:tc>
              <w:tc>
                <w:tcPr>
                  <w:tcW w:w="1975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1975" w:type="dxa"/>
                </w:tcPr>
                <w:p w:rsidR="00DD2EFF" w:rsidRDefault="00DD2EFF" w:rsidP="009B2FD8">
                  <w:pPr>
                    <w:jc w:val="center"/>
                  </w:pPr>
                </w:p>
              </w:tc>
              <w:tc>
                <w:tcPr>
                  <w:tcW w:w="1976" w:type="dxa"/>
                </w:tcPr>
                <w:p w:rsidR="00DD2EFF" w:rsidRDefault="00DD2EFF" w:rsidP="009B2FD8">
                  <w:pPr>
                    <w:jc w:val="center"/>
                  </w:pPr>
                </w:p>
              </w:tc>
            </w:tr>
            <w:tr w:rsidR="00DD2EFF" w:rsidTr="009B2FD8">
              <w:trPr>
                <w:trHeight w:val="334"/>
              </w:trPr>
              <w:tc>
                <w:tcPr>
                  <w:tcW w:w="1066" w:type="dxa"/>
                </w:tcPr>
                <w:p w:rsidR="00DD2EFF" w:rsidRPr="00DD2EFF" w:rsidRDefault="00DD2EFF" w:rsidP="009B2FD8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D2EFF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3-1/16</w:t>
                  </w:r>
                  <w:r w:rsidR="009B2FD8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’’</w:t>
                  </w:r>
                </w:p>
              </w:tc>
              <w:tc>
                <w:tcPr>
                  <w:tcW w:w="1975" w:type="dxa"/>
                </w:tcPr>
                <w:p w:rsidR="00DD2EFF" w:rsidRDefault="00DD2EFF" w:rsidP="009B2FD8">
                  <w:pPr>
                    <w:jc w:val="center"/>
                  </w:pPr>
                </w:p>
              </w:tc>
              <w:tc>
                <w:tcPr>
                  <w:tcW w:w="1975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1976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</w:tr>
            <w:tr w:rsidR="00DD2EFF" w:rsidTr="009B2FD8">
              <w:trPr>
                <w:trHeight w:val="334"/>
              </w:trPr>
              <w:tc>
                <w:tcPr>
                  <w:tcW w:w="1066" w:type="dxa"/>
                </w:tcPr>
                <w:p w:rsidR="00DD2EFF" w:rsidRPr="00DD2EFF" w:rsidRDefault="00DD2EFF" w:rsidP="009B2FD8">
                  <w:pPr>
                    <w:jc w:val="center"/>
                    <w:rPr>
                      <w:rFonts w:cstheme="minorHAnsi"/>
                      <w:color w:val="000000" w:themeColor="text1"/>
                      <w:shd w:val="clear" w:color="auto" w:fill="FFFFFF"/>
                    </w:rPr>
                  </w:pPr>
                  <w:r w:rsidRPr="00DD2EFF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4-1/16</w:t>
                  </w:r>
                  <w:r w:rsidR="009B2FD8">
                    <w:rPr>
                      <w:rFonts w:cstheme="minorHAnsi"/>
                      <w:color w:val="000000" w:themeColor="text1"/>
                      <w:shd w:val="clear" w:color="auto" w:fill="FFFFFF"/>
                    </w:rPr>
                    <w:t>’’</w:t>
                  </w:r>
                </w:p>
              </w:tc>
              <w:tc>
                <w:tcPr>
                  <w:tcW w:w="1975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1975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  <w:tc>
                <w:tcPr>
                  <w:tcW w:w="1976" w:type="dxa"/>
                </w:tcPr>
                <w:p w:rsidR="00DD2EFF" w:rsidRDefault="00DD2EFF" w:rsidP="009B2FD8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</w:pPr>
                </w:p>
              </w:tc>
            </w:tr>
          </w:tbl>
          <w:p w:rsidR="00DD2EFF" w:rsidRDefault="00DD2EFF"/>
          <w:p w:rsidR="00DD2EFF" w:rsidRDefault="00DD2EFF"/>
          <w:p w:rsidR="00DD2EFF" w:rsidRDefault="00DD2EFF"/>
          <w:p w:rsidR="00DD2EFF" w:rsidRDefault="00DD2EFF"/>
          <w:p w:rsidR="00DD2EFF" w:rsidRDefault="00DD2EFF"/>
          <w:p w:rsidR="00DD2EFF" w:rsidRDefault="00DD2EFF"/>
          <w:p w:rsidR="00DD2EFF" w:rsidRDefault="00DD2EFF">
            <w:r>
              <w:t xml:space="preserve">    </w:t>
            </w:r>
          </w:p>
        </w:tc>
      </w:tr>
    </w:tbl>
    <w:p w:rsidR="00B72451" w:rsidRDefault="00B72451"/>
    <w:sectPr w:rsidR="00B7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CC7"/>
    <w:multiLevelType w:val="hybridMultilevel"/>
    <w:tmpl w:val="A6127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60004"/>
    <w:multiLevelType w:val="multilevel"/>
    <w:tmpl w:val="77D8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BD6B82"/>
    <w:multiLevelType w:val="multilevel"/>
    <w:tmpl w:val="37F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2"/>
    <w:rsid w:val="004E03E3"/>
    <w:rsid w:val="009B2FD8"/>
    <w:rsid w:val="00B440C1"/>
    <w:rsid w:val="00B72451"/>
    <w:rsid w:val="00D66F32"/>
    <w:rsid w:val="00D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EFF"/>
    <w:rPr>
      <w:b/>
      <w:bCs/>
    </w:rPr>
  </w:style>
  <w:style w:type="paragraph" w:styleId="ListParagraph">
    <w:name w:val="List Paragraph"/>
    <w:basedOn w:val="Normal"/>
    <w:uiPriority w:val="34"/>
    <w:qFormat/>
    <w:rsid w:val="009B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EFF"/>
    <w:rPr>
      <w:b/>
      <w:bCs/>
    </w:rPr>
  </w:style>
  <w:style w:type="paragraph" w:styleId="ListParagraph">
    <w:name w:val="List Paragraph"/>
    <w:basedOn w:val="Normal"/>
    <w:uiPriority w:val="34"/>
    <w:qFormat/>
    <w:rsid w:val="009B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2020-05-21T06:33:00Z</dcterms:created>
  <dcterms:modified xsi:type="dcterms:W3CDTF">2020-05-21T07:08:00Z</dcterms:modified>
</cp:coreProperties>
</file>